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年度自治区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优秀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研究生学位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论文奖金发放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的通知</w:t>
      </w:r>
    </w:p>
    <w:p>
      <w:pPr>
        <w:widowControl/>
        <w:spacing w:line="360" w:lineRule="auto"/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各学院：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《关于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公布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2014年度自治区优秀博士、硕士学位论文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名单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的通知》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（新教研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[2015]1号）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，我校2014年获得新疆自治区优秀博士学位论文2篇，优秀硕士学位论文11篇，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优秀博士论文奖金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00元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/篇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，其中研究生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000元，导师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00元；优秀硕士论文奖金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00元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/篇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，其中研究生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500元，导师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00元。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请获奖学位论文所在学院按照附件表格样式填写并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核对本院研究生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和导师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的姓名、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所属银行、（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eastAsia="zh-CN"/>
        </w:rPr>
        <w:t>非石河子本地银行卡还须填写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开户行名称及账号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银行卡号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（农业银行或中国银行）。如以上信息不正确，则奖金无法发放。</w:t>
      </w:r>
    </w:p>
    <w:p>
      <w:pPr>
        <w:widowControl/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优秀学位论文获得者名单及导师名单见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附件。请各学院于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3月14日13:00前将附件2、附件3填写完整并报送学位办。</w:t>
      </w:r>
    </w:p>
    <w:p>
      <w:pPr>
        <w:widowControl/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联系人：王志祥</w:t>
      </w:r>
    </w:p>
    <w:p>
      <w:pPr>
        <w:widowControl/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电话：2057980</w:t>
      </w:r>
    </w:p>
    <w:p>
      <w:pPr>
        <w:widowControl/>
        <w:spacing w:line="360" w:lineRule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附件：</w:t>
      </w:r>
    </w:p>
    <w:p>
      <w:pPr>
        <w:widowControl/>
        <w:spacing w:line="360" w:lineRule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2014年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自治区优秀研究生学位论文名单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；</w:t>
      </w:r>
    </w:p>
    <w:p>
      <w:pPr>
        <w:widowControl/>
        <w:spacing w:line="360" w:lineRule="auto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201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度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自治区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研究生优秀论文奖金发放单（研究生）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；</w:t>
      </w:r>
    </w:p>
    <w:p>
      <w:pPr>
        <w:widowControl/>
        <w:spacing w:line="400" w:lineRule="exact"/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201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度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自治区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研究生优秀论文奖金发放单（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导师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。</w:t>
      </w:r>
    </w:p>
    <w:p>
      <w:pPr>
        <w:widowControl/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                           研究生处</w:t>
      </w:r>
    </w:p>
    <w:p>
      <w:pPr>
        <w:widowControl/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                        2016年3月11日</w:t>
      </w:r>
    </w:p>
    <w:p>
      <w:pPr>
        <w:widowControl/>
        <w:spacing w:line="360" w:lineRule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附件1：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2014年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自治区优秀研究生学位论文名单</w:t>
      </w:r>
    </w:p>
    <w:tbl>
      <w:tblPr>
        <w:tblStyle w:val="4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840"/>
        <w:gridCol w:w="1170"/>
        <w:gridCol w:w="2565"/>
        <w:gridCol w:w="1285"/>
        <w:gridCol w:w="204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4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学位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17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56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28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导师</w:t>
            </w:r>
          </w:p>
        </w:tc>
        <w:tc>
          <w:tcPr>
            <w:tcW w:w="204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1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奖金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17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冯鸿杰</w:t>
            </w:r>
          </w:p>
        </w:tc>
        <w:tc>
          <w:tcPr>
            <w:tcW w:w="256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作物遗传育种</w:t>
            </w:r>
          </w:p>
        </w:tc>
        <w:tc>
          <w:tcPr>
            <w:tcW w:w="128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孙  杰</w:t>
            </w:r>
          </w:p>
        </w:tc>
        <w:tc>
          <w:tcPr>
            <w:tcW w:w="204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农学院</w:t>
            </w:r>
          </w:p>
        </w:tc>
        <w:tc>
          <w:tcPr>
            <w:tcW w:w="11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博士</w:t>
            </w:r>
          </w:p>
        </w:tc>
        <w:tc>
          <w:tcPr>
            <w:tcW w:w="117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惠文巧</w:t>
            </w:r>
          </w:p>
        </w:tc>
        <w:tc>
          <w:tcPr>
            <w:tcW w:w="256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动物遗传育种与繁殖</w:t>
            </w:r>
          </w:p>
        </w:tc>
        <w:tc>
          <w:tcPr>
            <w:tcW w:w="128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贾  斌</w:t>
            </w:r>
          </w:p>
        </w:tc>
        <w:tc>
          <w:tcPr>
            <w:tcW w:w="204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动物科技学院</w:t>
            </w:r>
          </w:p>
        </w:tc>
        <w:tc>
          <w:tcPr>
            <w:tcW w:w="11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冯展斌</w:t>
            </w:r>
          </w:p>
        </w:tc>
        <w:tc>
          <w:tcPr>
            <w:tcW w:w="256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128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杨兴全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经济与管理学院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孟晓敏</w:t>
            </w:r>
          </w:p>
        </w:tc>
        <w:tc>
          <w:tcPr>
            <w:tcW w:w="256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中国少数民族经济</w:t>
            </w:r>
          </w:p>
        </w:tc>
        <w:tc>
          <w:tcPr>
            <w:tcW w:w="128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冯晓华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政法学院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马志远</w:t>
            </w:r>
          </w:p>
        </w:tc>
        <w:tc>
          <w:tcPr>
            <w:tcW w:w="256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应用化学</w:t>
            </w:r>
          </w:p>
        </w:tc>
        <w:tc>
          <w:tcPr>
            <w:tcW w:w="128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贾  鑫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化学化工学院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李晓燕</w:t>
            </w:r>
          </w:p>
        </w:tc>
        <w:tc>
          <w:tcPr>
            <w:tcW w:w="256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应用化学</w:t>
            </w:r>
          </w:p>
        </w:tc>
        <w:tc>
          <w:tcPr>
            <w:tcW w:w="128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代  斌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化学化工学院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赵云霞</w:t>
            </w:r>
          </w:p>
        </w:tc>
        <w:tc>
          <w:tcPr>
            <w:tcW w:w="256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植物学</w:t>
            </w:r>
          </w:p>
        </w:tc>
        <w:tc>
          <w:tcPr>
            <w:tcW w:w="128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黄先忠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生命科技学院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贺志昊</w:t>
            </w:r>
          </w:p>
        </w:tc>
        <w:tc>
          <w:tcPr>
            <w:tcW w:w="256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预防兽医学</w:t>
            </w:r>
          </w:p>
        </w:tc>
        <w:tc>
          <w:tcPr>
            <w:tcW w:w="128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乔  军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动物科技学院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江海澜</w:t>
            </w:r>
          </w:p>
        </w:tc>
        <w:tc>
          <w:tcPr>
            <w:tcW w:w="256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农药学</w:t>
            </w:r>
          </w:p>
        </w:tc>
        <w:tc>
          <w:tcPr>
            <w:tcW w:w="128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王俊刚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农学院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田金虎</w:t>
            </w:r>
          </w:p>
        </w:tc>
        <w:tc>
          <w:tcPr>
            <w:tcW w:w="256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农产品加工及贮藏工程</w:t>
            </w:r>
          </w:p>
        </w:tc>
        <w:tc>
          <w:tcPr>
            <w:tcW w:w="128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陈计峦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食品学院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何  佳</w:t>
            </w:r>
          </w:p>
        </w:tc>
        <w:tc>
          <w:tcPr>
            <w:tcW w:w="256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流行病与卫生统计学</w:t>
            </w:r>
          </w:p>
        </w:tc>
        <w:tc>
          <w:tcPr>
            <w:tcW w:w="128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郭淑霞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李秋香</w:t>
            </w:r>
          </w:p>
        </w:tc>
        <w:tc>
          <w:tcPr>
            <w:tcW w:w="256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病理学与病理生理学</w:t>
            </w:r>
          </w:p>
        </w:tc>
        <w:tc>
          <w:tcPr>
            <w:tcW w:w="128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庞丽娟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赵  虹</w:t>
            </w:r>
          </w:p>
        </w:tc>
        <w:tc>
          <w:tcPr>
            <w:tcW w:w="256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药理学</w:t>
            </w:r>
          </w:p>
        </w:tc>
        <w:tc>
          <w:tcPr>
            <w:tcW w:w="128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郑秋生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药学院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75000</w:t>
            </w:r>
          </w:p>
        </w:tc>
      </w:tr>
    </w:tbl>
    <w:p>
      <w:pPr>
        <w:widowControl/>
        <w:spacing w:line="400" w:lineRule="exact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br w:type="page"/>
      </w:r>
    </w:p>
    <w:p>
      <w:pPr>
        <w:widowControl/>
        <w:spacing w:line="400" w:lineRule="exact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2：</w:t>
      </w:r>
    </w:p>
    <w:p>
      <w:pPr>
        <w:widowControl/>
        <w:spacing w:line="400" w:lineRule="exact"/>
        <w:jc w:val="center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201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度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自治区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研究生优秀论文奖金发放单（研究生）</w:t>
      </w:r>
    </w:p>
    <w:tbl>
      <w:tblPr>
        <w:tblStyle w:val="3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1453"/>
        <w:gridCol w:w="2562"/>
        <w:gridCol w:w="2801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所属银行</w:t>
            </w:r>
          </w:p>
        </w:tc>
        <w:tc>
          <w:tcPr>
            <w:tcW w:w="256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开户行名称及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银行卡号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冯鸿杰</w:t>
            </w:r>
          </w:p>
        </w:tc>
        <w:tc>
          <w:tcPr>
            <w:tcW w:w="145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62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惠文巧</w:t>
            </w:r>
          </w:p>
        </w:tc>
        <w:tc>
          <w:tcPr>
            <w:tcW w:w="145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62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冯展斌</w:t>
            </w:r>
          </w:p>
        </w:tc>
        <w:tc>
          <w:tcPr>
            <w:tcW w:w="145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62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孟晓敏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马志远</w:t>
            </w:r>
          </w:p>
        </w:tc>
        <w:tc>
          <w:tcPr>
            <w:tcW w:w="145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62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李晓燕</w:t>
            </w:r>
          </w:p>
        </w:tc>
        <w:tc>
          <w:tcPr>
            <w:tcW w:w="145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62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赵云霞</w:t>
            </w:r>
          </w:p>
        </w:tc>
        <w:tc>
          <w:tcPr>
            <w:tcW w:w="145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62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贺志昊</w:t>
            </w:r>
          </w:p>
        </w:tc>
        <w:tc>
          <w:tcPr>
            <w:tcW w:w="145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62" w:type="dxa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江海澜</w:t>
            </w:r>
          </w:p>
        </w:tc>
        <w:tc>
          <w:tcPr>
            <w:tcW w:w="145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62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田金虎</w:t>
            </w:r>
          </w:p>
        </w:tc>
        <w:tc>
          <w:tcPr>
            <w:tcW w:w="145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62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何  佳</w:t>
            </w:r>
          </w:p>
        </w:tc>
        <w:tc>
          <w:tcPr>
            <w:tcW w:w="1453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62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李秋香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赵  虹</w:t>
            </w:r>
          </w:p>
        </w:tc>
        <w:tc>
          <w:tcPr>
            <w:tcW w:w="145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62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</w:tbl>
    <w:p>
      <w:pPr>
        <w:widowControl/>
        <w:spacing w:line="40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：</w:t>
      </w:r>
    </w:p>
    <w:p>
      <w:pPr>
        <w:widowControl/>
        <w:spacing w:line="40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自治区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研究生优秀论文奖金发放单（导师）</w:t>
      </w:r>
    </w:p>
    <w:tbl>
      <w:tblPr>
        <w:tblStyle w:val="3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71"/>
        <w:gridCol w:w="1125"/>
        <w:gridCol w:w="1305"/>
        <w:gridCol w:w="2040"/>
        <w:gridCol w:w="2401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导师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工资号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所属银行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开户行名称及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240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银行卡号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金额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（元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孙  杰</w:t>
            </w:r>
          </w:p>
        </w:tc>
        <w:tc>
          <w:tcPr>
            <w:tcW w:w="1125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4" w:type="dxa"/>
            <w:textDirection w:val="lrTb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贾  斌</w:t>
            </w:r>
          </w:p>
        </w:tc>
        <w:tc>
          <w:tcPr>
            <w:tcW w:w="1125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4" w:type="dxa"/>
            <w:textDirection w:val="lrTb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杨兴全</w:t>
            </w:r>
          </w:p>
        </w:tc>
        <w:tc>
          <w:tcPr>
            <w:tcW w:w="1125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4" w:type="dxa"/>
            <w:textDirection w:val="lrTb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冯晓华</w:t>
            </w:r>
          </w:p>
        </w:tc>
        <w:tc>
          <w:tcPr>
            <w:tcW w:w="1125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4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贾  鑫</w:t>
            </w:r>
          </w:p>
        </w:tc>
        <w:tc>
          <w:tcPr>
            <w:tcW w:w="1125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4" w:type="dxa"/>
            <w:textDirection w:val="lrTb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代  斌</w:t>
            </w:r>
          </w:p>
        </w:tc>
        <w:tc>
          <w:tcPr>
            <w:tcW w:w="1125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4" w:type="dxa"/>
            <w:textDirection w:val="lrTb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黄先忠</w:t>
            </w:r>
          </w:p>
        </w:tc>
        <w:tc>
          <w:tcPr>
            <w:tcW w:w="1125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4" w:type="dxa"/>
            <w:textDirection w:val="lrTb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乔  军</w:t>
            </w:r>
          </w:p>
        </w:tc>
        <w:tc>
          <w:tcPr>
            <w:tcW w:w="1125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4" w:type="dxa"/>
            <w:textDirection w:val="lrTb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7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王俊刚</w:t>
            </w:r>
          </w:p>
        </w:tc>
        <w:tc>
          <w:tcPr>
            <w:tcW w:w="1125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4" w:type="dxa"/>
            <w:textDirection w:val="lrTb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陈计峦</w:t>
            </w:r>
          </w:p>
        </w:tc>
        <w:tc>
          <w:tcPr>
            <w:tcW w:w="1125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4" w:type="dxa"/>
            <w:textDirection w:val="lrTb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郭淑霞</w:t>
            </w:r>
          </w:p>
        </w:tc>
        <w:tc>
          <w:tcPr>
            <w:tcW w:w="1125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4" w:type="dxa"/>
            <w:textDirection w:val="lrTb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庞丽娟</w:t>
            </w:r>
          </w:p>
        </w:tc>
        <w:tc>
          <w:tcPr>
            <w:tcW w:w="1125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4" w:type="dxa"/>
            <w:textDirection w:val="lrTb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郑秋生</w:t>
            </w:r>
          </w:p>
        </w:tc>
        <w:tc>
          <w:tcPr>
            <w:tcW w:w="1125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4" w:type="dxa"/>
            <w:textDirection w:val="lrTb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2500</w:t>
            </w:r>
          </w:p>
        </w:tc>
      </w:tr>
    </w:tbl>
    <w:p>
      <w:pPr>
        <w:widowControl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</w:pPr>
    </w:p>
    <w:p>
      <w:pPr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decorative"/>
    <w:pitch w:val="default"/>
    <w:sig w:usb0="00000003" w:usb1="00000000" w:usb2="00000000" w:usb3="00000000" w:csb0="20000001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roman"/>
    <w:pitch w:val="default"/>
    <w:sig w:usb0="00000003" w:usb1="00000000" w:usb2="00000000" w:usb3="00000000" w:csb0="20000001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modern"/>
    <w:pitch w:val="default"/>
    <w:sig w:usb0="00000003" w:usb1="00000000" w:usb2="00000000" w:usb3="00000000" w:csb0="20000001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604030504040204"/>
    <w:charset w:val="00"/>
    <w:family w:val="modern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roman"/>
    <w:pitch w:val="default"/>
    <w:sig w:usb0="00000287" w:usb1="00000000" w:usb2="00000000" w:usb3="00000000" w:csb0="2000019F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8665F"/>
    <w:rsid w:val="17D65275"/>
    <w:rsid w:val="2B7319D4"/>
    <w:rsid w:val="54B866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5">
    <w:name w:val="font71"/>
    <w:basedOn w:val="2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5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2016-03-11T09:46:00Z</dcterms:created>
  <dc:creator>Administrator</dc:creator>
  <cp:lastModifiedBy>Administrator</cp:lastModifiedBy>
  <dcterms:modified xsi:type="dcterms:W3CDTF">2016-03-11T10:26:34Z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